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eastAsia="方正黑体简体"/>
          <w:color w:val="auto"/>
          <w:sz w:val="32"/>
          <w:szCs w:val="32"/>
        </w:rPr>
      </w:pPr>
    </w:p>
    <w:p>
      <w:pPr>
        <w:spacing w:line="550" w:lineRule="exact"/>
        <w:rPr>
          <w:rFonts w:hint="eastAsia" w:eastAsia="方正黑体简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黑体简体"/>
          <w:color w:val="auto"/>
          <w:sz w:val="32"/>
          <w:szCs w:val="32"/>
        </w:rPr>
        <w:t>附件</w:t>
      </w:r>
      <w:r>
        <w:rPr>
          <w:rFonts w:hint="eastAsia" w:eastAsia="方正黑体简体"/>
          <w:color w:val="auto"/>
          <w:sz w:val="32"/>
          <w:szCs w:val="32"/>
          <w:lang w:val="en-US" w:eastAsia="zh-CN"/>
        </w:rPr>
        <w:t>2</w:t>
      </w:r>
    </w:p>
    <w:p>
      <w:pPr>
        <w:spacing w:line="57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申报材料报送时间安排表</w:t>
      </w:r>
    </w:p>
    <w:tbl>
      <w:tblPr>
        <w:tblStyle w:val="3"/>
        <w:tblW w:w="8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96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黑体简体" w:eastAsia="方正黑体简体"/>
                <w:color w:val="auto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color w:val="auto"/>
                <w:sz w:val="32"/>
                <w:szCs w:val="32"/>
              </w:rPr>
              <w:t>地区（部门）</w:t>
            </w:r>
          </w:p>
        </w:tc>
        <w:tc>
          <w:tcPr>
            <w:tcW w:w="40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黑体简体" w:eastAsia="方正黑体简体"/>
                <w:color w:val="auto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color w:val="auto"/>
                <w:sz w:val="32"/>
                <w:szCs w:val="32"/>
              </w:rPr>
              <w:t>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961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自贡、攀枝花、泸州、</w:t>
            </w:r>
          </w:p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德阳、绵阳、广元</w:t>
            </w:r>
          </w:p>
        </w:tc>
        <w:tc>
          <w:tcPr>
            <w:tcW w:w="4066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日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—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961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遂宁、内江、乐山、</w:t>
            </w:r>
          </w:p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南充、宜宾、广安</w:t>
            </w:r>
          </w:p>
        </w:tc>
        <w:tc>
          <w:tcPr>
            <w:tcW w:w="4066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日—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61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达州、巴中、雅安</w:t>
            </w:r>
          </w:p>
        </w:tc>
        <w:tc>
          <w:tcPr>
            <w:tcW w:w="4066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日—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61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眉山、资阳、阿坝、甘孜</w:t>
            </w:r>
          </w:p>
        </w:tc>
        <w:tc>
          <w:tcPr>
            <w:tcW w:w="4066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日—8月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61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凉山、省直部门</w:t>
            </w:r>
          </w:p>
        </w:tc>
        <w:tc>
          <w:tcPr>
            <w:tcW w:w="4066" w:type="dxa"/>
            <w:vAlign w:val="center"/>
          </w:tcPr>
          <w:p>
            <w:pPr>
              <w:spacing w:line="57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日—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31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</w:tbl>
    <w:p>
      <w:pPr>
        <w:spacing w:line="570" w:lineRule="exact"/>
        <w:rPr>
          <w:rFonts w:hint="eastAsia" w:eastAsia="仿宋_GB2312"/>
          <w:color w:val="auto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color w:val="auto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B9F"/>
    <w:rsid w:val="57622B9F"/>
    <w:rsid w:val="6D535020"/>
    <w:rsid w:val="74B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2018-07-09T07:14:00Z</dcterms:created>
  <dc:creator>jiali</dc:creator>
  <cp:lastModifiedBy>jiali</cp:lastModifiedBy>
  <cp:lastPrinted>2018-07-10T01:33:31Z</cp:lastPrinted>
  <dcterms:modified xsi:type="dcterms:W3CDTF">2018-07-10T01:33:37Z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